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rPr/>
      </w:pPr>
      <w:r w:rsidDel="00000000" w:rsidR="00000000" w:rsidRPr="00000000">
        <w:rPr>
          <w:b w:val="1"/>
          <w:u w:val="single"/>
          <w:rtl w:val="0"/>
        </w:rPr>
        <w:t xml:space="preserve">Gospel: (Luke 16:19-31)</w:t>
      </w:r>
      <w:r w:rsidDel="00000000" w:rsidR="00000000" w:rsidRPr="00000000">
        <w:rPr>
          <w:rtl w:val="0"/>
        </w:rPr>
        <w:br w:type="textWrapping"/>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rPr>
          <w:sz w:val="38"/>
          <w:szCs w:val="38"/>
        </w:rPr>
      </w:pPr>
      <w:r w:rsidDel="00000000" w:rsidR="00000000" w:rsidRPr="00000000">
        <w:rPr>
          <w:sz w:val="38"/>
          <w:szCs w:val="38"/>
          <w:rtl w:val="0"/>
        </w:rPr>
        <w:t xml:space="preserve">Jesus said to the Pharisees: “There was a rich man who dressed in purple garments and fine linen and dined sumptuously each day. And lying at his door was a poor man Lazarus, covered with sores, who would gladly have eaten his fill of the scraps that fell from the rich man’s table. </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rPr>
          <w:sz w:val="38"/>
          <w:szCs w:val="38"/>
        </w:rPr>
      </w:pP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rPr>
          <w:sz w:val="38"/>
          <w:szCs w:val="38"/>
        </w:rPr>
      </w:pPr>
      <w:r w:rsidDel="00000000" w:rsidR="00000000" w:rsidRPr="00000000">
        <w:rPr>
          <w:sz w:val="38"/>
          <w:szCs w:val="38"/>
          <w:rtl w:val="0"/>
        </w:rPr>
        <w:t xml:space="preserve">When the poor man died, he was carried away by angels to the bosom of Abraham. The rich man died and was buried, and from the netherworld, where he was in torment, he raised his eyes and saw Abraham far off and Lazarus at his side. And he cried out ‘Father Abraham, have pity on me. Send Lazarus to dip the tip of his finger in water and cool my tongue, for I am suffering torment in these flames.’ </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rPr>
          <w:sz w:val="38"/>
          <w:szCs w:val="38"/>
        </w:rPr>
      </w:pP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rPr>
          <w:sz w:val="38"/>
          <w:szCs w:val="38"/>
        </w:rPr>
      </w:pPr>
      <w:r w:rsidDel="00000000" w:rsidR="00000000" w:rsidRPr="00000000">
        <w:rPr>
          <w:sz w:val="38"/>
          <w:szCs w:val="38"/>
          <w:rtl w:val="0"/>
        </w:rPr>
        <w:t xml:space="preserve">Abraham replied, ‘My child, remember that you received what was good during your lifetime while Lazarus likewise received what was bad; but now he is comforted here whereas you are tormented. He said, ‘Then I beg you, father, send him to my father’s house, for I have five brothers, so that he may warn them, lest they too come to this place of torment.’ But Abraham replied, ‘They have Moses and the prophets. Let them listen to them’.  He said, ‘Oh no, father Abraham, but if someone from the dead goes to them, they will repent.’ Then Abraham said, ‘If they will not listen to Moses and the prophets, neither will they be persuaded if someone should rise from the dead.”</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rPr>
          <w:b w:val="1"/>
          <w:sz w:val="32"/>
          <w:szCs w:val="32"/>
        </w:rPr>
      </w:pPr>
      <w:r w:rsidDel="00000000" w:rsidR="00000000" w:rsidRPr="00000000">
        <w:rPr>
          <w:b w:val="1"/>
          <w:sz w:val="32"/>
          <w:szCs w:val="32"/>
          <w:rtl w:val="0"/>
        </w:rPr>
        <w:t xml:space="preserve">Vincentian Meditation:</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ind w:left="720" w:firstLine="0"/>
        <w:rPr>
          <w:sz w:val="32"/>
          <w:szCs w:val="32"/>
        </w:rPr>
      </w:pPr>
      <w:r w:rsidDel="00000000" w:rsidR="00000000" w:rsidRPr="00000000">
        <w:rPr>
          <w:sz w:val="32"/>
          <w:szCs w:val="32"/>
          <w:rtl w:val="0"/>
        </w:rPr>
        <w:br w:type="textWrapping"/>
        <w:t xml:space="preserve">As followers of St. Vincent, we profess to have both an eye and a heart for the suffering poor. We profess and proclaim to show the effective compassion of Jesus Christ towards those who are Lazarus in today’s world. </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ind w:left="720" w:firstLine="0"/>
        <w:rPr>
          <w:sz w:val="32"/>
          <w:szCs w:val="32"/>
        </w:rPr>
      </w:pP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ind w:left="720" w:firstLine="0"/>
        <w:rPr>
          <w:sz w:val="32"/>
          <w:szCs w:val="32"/>
        </w:rPr>
      </w:pPr>
      <w:r w:rsidDel="00000000" w:rsidR="00000000" w:rsidRPr="00000000">
        <w:rPr>
          <w:sz w:val="32"/>
          <w:szCs w:val="32"/>
          <w:rtl w:val="0"/>
        </w:rPr>
        <w:t xml:space="preserve">To have an eye and a heart of compassion for the poor is a grace of Jesus Christ. We cannot turn on the compassion of Jesus, as we would water from a tap. We must humbly ask that grace of compassion from Jesus Christ.</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br w:type="textWrapping"/>
        <w:t xml:space="preserve">Ref: McCullen; Deep Down Things, p. 297</w:t>
      </w:r>
    </w:p>
    <w:sectPr>
      <w:pgSz w:h="15840" w:w="12240"/>
      <w:pgMar w:bottom="720" w:top="720"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